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EC0" w:rsidRPr="00BF4EC0" w:rsidRDefault="00BF4EC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BF4EC0">
        <w:rPr>
          <w:rFonts w:ascii="Times New Roman" w:hAnsi="Times New Roman" w:cs="Times New Roman"/>
        </w:rPr>
        <w:t>Утверждена</w:t>
      </w:r>
    </w:p>
    <w:p w:rsidR="00BF4EC0" w:rsidRPr="00BF4EC0" w:rsidRDefault="00BF4EC0">
      <w:pPr>
        <w:pStyle w:val="ConsPlusNormal"/>
        <w:jc w:val="right"/>
        <w:rPr>
          <w:rFonts w:ascii="Times New Roman" w:hAnsi="Times New Roman" w:cs="Times New Roman"/>
        </w:rPr>
      </w:pPr>
      <w:r w:rsidRPr="00BF4EC0">
        <w:rPr>
          <w:rFonts w:ascii="Times New Roman" w:hAnsi="Times New Roman" w:cs="Times New Roman"/>
        </w:rPr>
        <w:t>постановлением</w:t>
      </w:r>
    </w:p>
    <w:p w:rsidR="00BF4EC0" w:rsidRPr="00BF4EC0" w:rsidRDefault="00BF4EC0">
      <w:pPr>
        <w:pStyle w:val="ConsPlusNormal"/>
        <w:jc w:val="right"/>
        <w:rPr>
          <w:rFonts w:ascii="Times New Roman" w:hAnsi="Times New Roman" w:cs="Times New Roman"/>
        </w:rPr>
      </w:pPr>
      <w:r w:rsidRPr="00BF4EC0">
        <w:rPr>
          <w:rFonts w:ascii="Times New Roman" w:hAnsi="Times New Roman" w:cs="Times New Roman"/>
        </w:rPr>
        <w:t>Правительства</w:t>
      </w:r>
    </w:p>
    <w:p w:rsidR="00BF4EC0" w:rsidRPr="00BF4EC0" w:rsidRDefault="00BF4EC0">
      <w:pPr>
        <w:pStyle w:val="ConsPlusNormal"/>
        <w:jc w:val="right"/>
        <w:rPr>
          <w:rFonts w:ascii="Times New Roman" w:hAnsi="Times New Roman" w:cs="Times New Roman"/>
        </w:rPr>
      </w:pPr>
      <w:r w:rsidRPr="00BF4EC0">
        <w:rPr>
          <w:rFonts w:ascii="Times New Roman" w:hAnsi="Times New Roman" w:cs="Times New Roman"/>
        </w:rPr>
        <w:t>Кабардино-Балкарской Республики</w:t>
      </w:r>
    </w:p>
    <w:p w:rsidR="00BF4EC0" w:rsidRPr="00BF4EC0" w:rsidRDefault="00BF4EC0">
      <w:pPr>
        <w:pStyle w:val="ConsPlusNormal"/>
        <w:jc w:val="right"/>
        <w:rPr>
          <w:rFonts w:ascii="Times New Roman" w:hAnsi="Times New Roman" w:cs="Times New Roman"/>
        </w:rPr>
      </w:pPr>
      <w:r w:rsidRPr="00BF4EC0">
        <w:rPr>
          <w:rFonts w:ascii="Times New Roman" w:hAnsi="Times New Roman" w:cs="Times New Roman"/>
        </w:rPr>
        <w:t>от 18 ноября 2019 г. N 202-ПП</w:t>
      </w:r>
    </w:p>
    <w:p w:rsidR="00BF4EC0" w:rsidRDefault="00BF4EC0">
      <w:pPr>
        <w:pStyle w:val="ConsPlusNormal"/>
        <w:jc w:val="both"/>
      </w:pPr>
    </w:p>
    <w:p w:rsidR="00BF4EC0" w:rsidRPr="00BF4EC0" w:rsidRDefault="00BF4EC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F4EC0">
        <w:rPr>
          <w:rFonts w:ascii="Times New Roman" w:hAnsi="Times New Roman" w:cs="Times New Roman"/>
          <w:sz w:val="24"/>
          <w:szCs w:val="24"/>
        </w:rPr>
        <w:t>ГОСУДАРСТВЕННАЯ ПРОГРАММА</w:t>
      </w:r>
    </w:p>
    <w:p w:rsidR="00BF4EC0" w:rsidRPr="00BF4EC0" w:rsidRDefault="00BF4EC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F4EC0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BF4EC0" w:rsidRPr="00BF4EC0" w:rsidRDefault="00BF4EC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F4EC0">
        <w:rPr>
          <w:rFonts w:ascii="Times New Roman" w:hAnsi="Times New Roman" w:cs="Times New Roman"/>
          <w:sz w:val="24"/>
          <w:szCs w:val="24"/>
        </w:rPr>
        <w:t>"СОЦИАЛЬНАЯ ПОДДЕРЖКА НАСЕЛЕНИЯ</w:t>
      </w:r>
    </w:p>
    <w:p w:rsidR="00BF4EC0" w:rsidRPr="00BF4EC0" w:rsidRDefault="00BF4EC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F4EC0">
        <w:rPr>
          <w:rFonts w:ascii="Times New Roman" w:hAnsi="Times New Roman" w:cs="Times New Roman"/>
          <w:sz w:val="24"/>
          <w:szCs w:val="24"/>
        </w:rPr>
        <w:t>КАБАРДИНО-БАЛКАРСКОЙ РЕСПУБЛИКИ"</w:t>
      </w:r>
    </w:p>
    <w:p w:rsidR="00BF4EC0" w:rsidRPr="00BF4EC0" w:rsidRDefault="00BF4EC0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BF4EC0" w:rsidRPr="00BF4EC0" w:rsidRDefault="00BF4E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4EC0" w:rsidRPr="00BF4EC0" w:rsidRDefault="00BF4EC0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F4EC0">
        <w:rPr>
          <w:rFonts w:ascii="Times New Roman" w:hAnsi="Times New Roman" w:cs="Times New Roman"/>
          <w:sz w:val="24"/>
          <w:szCs w:val="24"/>
        </w:rPr>
        <w:t>ПАСПОРТ</w:t>
      </w:r>
    </w:p>
    <w:p w:rsidR="00BF4EC0" w:rsidRPr="00BF4EC0" w:rsidRDefault="00BF4EC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F4EC0">
        <w:rPr>
          <w:rFonts w:ascii="Times New Roman" w:hAnsi="Times New Roman" w:cs="Times New Roman"/>
          <w:sz w:val="24"/>
          <w:szCs w:val="24"/>
        </w:rPr>
        <w:t>государственной программы</w:t>
      </w:r>
    </w:p>
    <w:p w:rsidR="00BF4EC0" w:rsidRPr="00BF4EC0" w:rsidRDefault="00BF4E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F4EC0" w:rsidRPr="00BF4EC0" w:rsidRDefault="00BF4E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67"/>
        <w:gridCol w:w="6576"/>
      </w:tblGrid>
      <w:tr w:rsidR="00BF4EC0" w:rsidRPr="00BF4EC0"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социальной защиты Кабардино-Балкарской Республики</w:t>
            </w:r>
          </w:p>
        </w:tc>
      </w:tr>
      <w:tr w:rsidR="00BF4EC0" w:rsidRPr="00BF4EC0"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Исполнители государственной программы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социальной защиты Кабардино-Балкарской Республики;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Министерство просвещения и науки Кабардино-Балкарской Республики;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Кабардино-Балкарской Республики;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Кабардино-Балкарской Республики;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Кабардино-Балкарской Республики;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Министерство земельных и имущественных отношений Кабардино-Балкарской Республики;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Кабардино-Балкарской Республики</w:t>
            </w:r>
          </w:p>
        </w:tc>
      </w:tr>
      <w:tr w:rsidR="00BF4EC0" w:rsidRPr="00BF4EC0">
        <w:tc>
          <w:tcPr>
            <w:tcW w:w="9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EC0" w:rsidRPr="00BF4EC0"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Подпрограммы государственной программы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4">
              <w:r w:rsidRPr="00BF4EC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Обеспечение</w:t>
              </w:r>
            </w:hyperlink>
            <w:r w:rsidRPr="00BF4EC0">
              <w:rPr>
                <w:rFonts w:ascii="Times New Roman" w:hAnsi="Times New Roman" w:cs="Times New Roman"/>
                <w:sz w:val="24"/>
                <w:szCs w:val="24"/>
              </w:rPr>
              <w:t xml:space="preserve"> мер социальной поддержки отдельных категорий граждан";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5">
              <w:r w:rsidRPr="00BF4EC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Модернизация</w:t>
              </w:r>
            </w:hyperlink>
            <w:r w:rsidRPr="00BF4EC0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развитие социального обслуживания населения";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6">
              <w:r w:rsidRPr="00BF4EC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Обеспечение</w:t>
              </w:r>
            </w:hyperlink>
            <w:r w:rsidRPr="00BF4EC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поддержки семей, имеющих детей";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7">
              <w:r w:rsidRPr="00BF4EC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Повышение</w:t>
              </w:r>
            </w:hyperlink>
            <w:r w:rsidRPr="00BF4EC0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 государственной поддержки социально ориентированных некоммерческих организаций";</w:t>
            </w:r>
          </w:p>
          <w:p w:rsidR="00BF4EC0" w:rsidRPr="00BF4EC0" w:rsidRDefault="004718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BF4EC0" w:rsidRPr="00BF4EC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"Старшее поколение"</w:t>
              </w:r>
            </w:hyperlink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9">
              <w:r w:rsidRPr="00BF4EC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Обеспечение защиты</w:t>
              </w:r>
            </w:hyperlink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, публичных интересов, реализации прав граждан и организаций"</w:t>
            </w:r>
          </w:p>
        </w:tc>
      </w:tr>
      <w:tr w:rsidR="00BF4EC0" w:rsidRPr="00BF4EC0">
        <w:tc>
          <w:tcPr>
            <w:tcW w:w="9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EC0" w:rsidRPr="00BF4EC0"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роста благосостояния граждан - получателей мер социальной поддержки;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социального обслуживания населения Кабардино-Балкарской Республики;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благоприятных условий для жизнедеятельности семьи, функционирования института семьи, рождения детей, обеспечение потребностей семей с детьми в социальной поддержке;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улучшение положения и качества жизни пожилых людей в Кабардино-Балкарской Республике</w:t>
            </w:r>
          </w:p>
        </w:tc>
      </w:tr>
      <w:tr w:rsidR="00BF4EC0" w:rsidRPr="00BF4EC0"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государственной программы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выполнение обязательств государства в отношении граждан - получателей мер социальной поддержки;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обеспечение потребностей граждан старших возрастов, инвалидов, включая детей-инвалидов, семей и детей в социальном обслуживании;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удовлетворение потребности детей-сирот в обеспечении жилыми помещениями, соответствующими современным требованиям;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социальной реабилитации людей пожилого возраста, интеграции их в социально-экономическую и культурную жизнь общества и ведения пожилыми людьми активного образа жизни</w:t>
            </w:r>
          </w:p>
        </w:tc>
      </w:tr>
      <w:tr w:rsidR="00BF4EC0" w:rsidRPr="00BF4EC0"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Целевые показатели (индикаторы) государственной программы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доля населения, имеющего денежные доходы ниже величины прожиточного минимума, в общей численности населения Кабардино-Балкарской Республики;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 Кабардино-Балкарской Республики</w:t>
            </w:r>
          </w:p>
        </w:tc>
      </w:tr>
      <w:tr w:rsidR="00BF4EC0" w:rsidRPr="00BF4EC0"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2021 - 2025 годы</w:t>
            </w:r>
          </w:p>
        </w:tc>
      </w:tr>
      <w:tr w:rsidR="00BF4EC0" w:rsidRPr="00BF4EC0"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государственной программы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 государственной программы на 2021 - 2025 годы составляет 74856567,4 тыс. рублей, в том числе за счет средств: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 - 54550868,8 тыс. рублей;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республиканского бюджета Кабардино-Балкарской Республики - 19890689,3 тыс. рублей; Государственного учреждения - Отделения Пенсионного фонда Российской Федерации - 415009,4 тыс. рублей.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государственной программы по годам составляет: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 бюджета: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2021 год - 11054500,7 тыс. рублей;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2022 год - 10414480,7 тыс. рублей;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2023 год - 10724368,7 тыс. рублей;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2024 год - 11168536,1 тыс. рублей;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2025 год - 11188982,5 тыс. рублей;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за счет средств республиканского бюджета Кабардино-Балкарской Республики: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2021 год - 3812288,6 тыс. рублей;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2022 год - 4041587,2 тыс. рублей;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 год - 3914001,4 тыс. рублей;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2024 год - 3983703,0 тыс. рублей;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2025 год - 4139109,0 тыс. рублей;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за счет средств Государственного учреждения - Отделения Пенсионного фонда Российской Федерации по Кабардино-Балкарской Республике: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2021 год - 90703,2 тыс. рублей;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2022 год - 78851,4 тыс. рублей;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2023 год - 80463,9 тыс. рублей;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2024 год - 81670,9 тыс. рублей;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2025 год - 83320,0 тыс. рублей</w:t>
            </w:r>
          </w:p>
        </w:tc>
      </w:tr>
      <w:tr w:rsidR="00BF4EC0" w:rsidRPr="00BF4EC0">
        <w:tc>
          <w:tcPr>
            <w:tcW w:w="9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EC0" w:rsidRPr="00BF4EC0"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в результате реализации государственной программы предполагается: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снижение уровня бедности среди получателей мер социальной поддержки на основе расширения сферы применения адресного принципа ее предоставления;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увеличение доли граждан, получивших государственную социальную помощь на основании социального контракта, преодолевших трудную жизненную ситуацию, в общей численности граждан, получивших государственную социальную помощь на основании социального контракта;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формирование организационных, правовых, социально-экономических условий для осуществления мер по улучшению положения и качества жизни пожилых людей и инвалидов, повышению степени их социальной защищенности, активизации участия в жизни общества;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внедрение в практику организаций социального обслуживания граждан пожилого возраста и инвалидов новых технологий работы с пожилыми гражданами;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обеспечение более широкого доступа пожилых граждан к культурным ценностям, образовательным, просветительским, информационным, консультативным и развлекательным программам, современным информационным технологиям, физкультуре и спорту;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создание прозрачной и конкурентной среды в сфере социального обслуживания населения;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сохранение уровня средней заработной платы социальных работников не ниже 100% среднемесячного дохода от средней заработной платы по Кабардино-Балкарской Республике;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создание в республике системы долговременного ухода за гражданами пожилого возраста;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расширение охвата отдыхом и оздоровлением детей, в том числе детей, находящихся в трудной жизненной ситуации;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формирование списка детей-сирот, которые подлежат обеспечению жилыми помещениями;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по договорам найма специализированного жилищного фонда Кабардино-Балкарской Республики;</w:t>
            </w:r>
          </w:p>
          <w:p w:rsidR="00BF4EC0" w:rsidRPr="00BF4EC0" w:rsidRDefault="00BF4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создание специализированного жилищного фонда для детей-</w:t>
            </w:r>
            <w:r w:rsidRPr="00BF4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сирот и контроль за сохранностью жилых помещений спе</w:t>
            </w:r>
            <w:bookmarkStart w:id="0" w:name="_GoBack"/>
            <w:bookmarkEnd w:id="0"/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циализированного жилищного фонда для детей-сирот</w:t>
            </w:r>
          </w:p>
        </w:tc>
      </w:tr>
    </w:tbl>
    <w:p w:rsidR="00BF4EC0" w:rsidRPr="00BF4EC0" w:rsidRDefault="00BF4EC0" w:rsidP="004718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F4EC0" w:rsidRPr="00BF4EC0" w:rsidSect="0047185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4EC0"/>
    <w:rsid w:val="0047185D"/>
    <w:rsid w:val="00530B13"/>
    <w:rsid w:val="005E271A"/>
    <w:rsid w:val="00BF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127CE"/>
  <w15:docId w15:val="{C356D190-3F6C-4834-8571-89EFF4D28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4EC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F4EC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3C8C9A811DAAD5AF25EEAD1D9806DF9284C1CCE0908FDF7DC66EF38074EB3CDCDD6E7066D23D3FF0D3D4FF1C0219C2728E10322AC0803D5B49B4l9k4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73C8C9A811DAAD5AF25EEAD1D9806DF9284C1CCE0908FDF7DC66EF38074EB3CDCDD6E7066D23D3FF0D3DAF01C0219C2728E10322AC0803D5B49B4l9k4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3C8C9A811DAAD5AF25EEAD1D9806DF9284C1CCE0908FDF7DC66EF38074EB3CDCDD6E7066D23D3FF0D3DBFB1C0219C2728E10322AC0803D5B49B4l9k4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073C8C9A811DAAD5AF25EEAD1D9806DF9284C1CCE0908FDF7DC66EF38074EB3CDCDD6E7066D23D3FF0D3D9FC1C0219C2728E10322AC0803D5B49B4l9k4N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073C8C9A811DAAD5AF25EEAD1D9806DF9284C1CCE0908FDF7DC66EF38074EB3CDCDD6E7066D23D3FF0D3DFF11C0219C2728E10322AC0803D5B49B4l9k4N" TargetMode="External"/><Relationship Id="rId9" Type="http://schemas.openxmlformats.org/officeDocument/2006/relationships/hyperlink" Target="consultantplus://offline/ref=073C8C9A811DAAD5AF25EEAD1D9806DF9284C1CCE0908FDF7DC66EF38074EB3CDCDD6E7066D23D3FF5DBD5F81C0219C2728E10322AC0803D5B49B4l9k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1058</Words>
  <Characters>6032</Characters>
  <Application>Microsoft Office Word</Application>
  <DocSecurity>0</DocSecurity>
  <Lines>50</Lines>
  <Paragraphs>14</Paragraphs>
  <ScaleCrop>false</ScaleCrop>
  <Company/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a.kudaeva</dc:creator>
  <cp:lastModifiedBy>МБУ Казакова Фатима 124</cp:lastModifiedBy>
  <cp:revision>2</cp:revision>
  <dcterms:created xsi:type="dcterms:W3CDTF">2022-10-15T13:36:00Z</dcterms:created>
  <dcterms:modified xsi:type="dcterms:W3CDTF">2022-10-16T08:20:00Z</dcterms:modified>
</cp:coreProperties>
</file>